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安徽省经济和信息化厅</w:t>
      </w:r>
      <w:bookmarkEnd w:id="0"/>
      <w:bookmarkEnd w:id="1"/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502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皖经信财务函〔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659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安徽省经济和信息化厅关于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0"/>
          <w:szCs w:val="40"/>
        </w:rPr>
        <w:t>2018</w:t>
      </w:r>
      <w:r>
        <w:rPr>
          <w:color w:val="000000"/>
          <w:spacing w:val="0"/>
          <w:w w:val="100"/>
          <w:position w:val="0"/>
        </w:rPr>
        <w:t>年度制造</w:t>
        <w:br/>
        <w:t>强省建设资金市县绩效评价结果的通报</w:t>
      </w:r>
      <w:bookmarkEnd w:id="3"/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0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各市经信局，广德市经信局、宿松县科经局：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0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为贯彻落实中共中央、国务院和省委、省政府关于全面实施 预算绩效管理的决策部署，强化资金使用责任，提高资金使用效 益，省财政厅和我厅分别对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2018</w:t>
      </w:r>
      <w:r>
        <w:rPr>
          <w:color w:val="000000"/>
          <w:spacing w:val="0"/>
          <w:w w:val="100"/>
          <w:position w:val="0"/>
        </w:rPr>
        <w:t>年制造强省建设资金开展了财 政绩效评价和部门绩效评价工作（得分情况详见附件），其中， 省财政厅重点抽取的合肥、淮北、蚌埠、滁州、六安、芜湖、马 鞍山、安庆、黄山等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9</w:t>
      </w:r>
      <w:r>
        <w:rPr>
          <w:color w:val="000000"/>
          <w:spacing w:val="0"/>
          <w:w w:val="100"/>
          <w:position w:val="0"/>
        </w:rPr>
        <w:t>市和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54</w:t>
      </w:r>
      <w:r>
        <w:rPr>
          <w:color w:val="000000"/>
          <w:spacing w:val="0"/>
          <w:w w:val="100"/>
          <w:position w:val="0"/>
        </w:rPr>
        <w:t>个具体项目整体评价得分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82.77 </w:t>
      </w:r>
      <w:r>
        <w:rPr>
          <w:color w:val="000000"/>
          <w:spacing w:val="0"/>
          <w:w w:val="100"/>
          <w:position w:val="0"/>
        </w:rPr>
        <w:t>分，评价结果等级为“良”；我厅对剩余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color w:val="000000"/>
          <w:spacing w:val="0"/>
          <w:w w:val="100"/>
          <w:position w:val="0"/>
        </w:rPr>
        <w:t>个市、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r>
        <w:rPr>
          <w:color w:val="000000"/>
          <w:spacing w:val="0"/>
          <w:w w:val="100"/>
          <w:position w:val="0"/>
        </w:rPr>
        <w:t>个省直管县（市） 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213</w:t>
      </w:r>
      <w:r>
        <w:rPr>
          <w:color w:val="000000"/>
          <w:spacing w:val="0"/>
          <w:w w:val="100"/>
          <w:position w:val="0"/>
        </w:rPr>
        <w:t>个具体项目开展评价，整体评价得分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90.47</w:t>
      </w:r>
      <w:r>
        <w:rPr>
          <w:color w:val="000000"/>
          <w:spacing w:val="0"/>
          <w:w w:val="100"/>
          <w:position w:val="0"/>
        </w:rPr>
        <w:t>分，评价结果 等级为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“优'</w:t>
      </w:r>
      <w:r>
        <w:rPr>
          <w:color w:val="000000"/>
          <w:spacing w:val="0"/>
          <w:w w:val="100"/>
          <w:position w:val="0"/>
        </w:rPr>
        <w:t>'。绩效评价整体成绩较好，但也存在着部分经信主管 部门对绩效评价工作重要性认识不足、项目前期审核把关不严、 项目现场核查不够规范、项目档案管理不到位以及专项资金拨付 管理有待加强等问题。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0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 xml:space="preserve">为加强绩效评价结果运用，根据《安徽省省级财政支持工业 和信息化发展专项资金绩效评价管理办法》（皖经信财务函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C2019J752</w:t>
      </w:r>
      <w:r>
        <w:rPr>
          <w:color w:val="000000"/>
          <w:spacing w:val="0"/>
          <w:w w:val="100"/>
          <w:position w:val="0"/>
        </w:rPr>
        <w:t>号），经厅党组会审议通过，现就有关情况通报如下：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02" w:lineRule="exact"/>
        <w:ind w:left="0" w:right="0" w:firstLine="660"/>
        <w:jc w:val="both"/>
      </w:pPr>
      <w:bookmarkStart w:id="6" w:name="bookmark6"/>
      <w:r>
        <w:rPr>
          <w:color w:val="000000"/>
          <w:spacing w:val="0"/>
          <w:w w:val="100"/>
          <w:position w:val="0"/>
        </w:rPr>
        <w:t>一</w:t>
      </w:r>
      <w:bookmarkEnd w:id="6"/>
      <w:r>
        <w:rPr>
          <w:color w:val="000000"/>
          <w:spacing w:val="0"/>
          <w:w w:val="100"/>
          <w:position w:val="0"/>
        </w:rPr>
        <w:t>、对评价结果等级为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“优</w:t>
      </w:r>
      <w:r>
        <w:rPr>
          <w:color w:val="000000"/>
          <w:spacing w:val="0"/>
          <w:w w:val="100"/>
          <w:position w:val="0"/>
        </w:rPr>
        <w:t xml:space="preserve">”的杨山县、广德市、贵池区、宿 州市、埔桥区、界首市、泾县、宁国市、东至县、泗县、太和县、 </w:t>
      </w:r>
      <w:r>
        <w:rPr>
          <w:color w:val="000000"/>
          <w:spacing w:val="0"/>
          <w:w w:val="100"/>
          <w:position w:val="0"/>
        </w:rPr>
        <w:t>郎溪县、阜南县、阜阳市、淮南经开区、利辛县、亳州市、机阳 县、涡阳县、蒙城县、谯城区、宣城市等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22</w:t>
      </w:r>
      <w:r>
        <w:rPr>
          <w:color w:val="000000"/>
          <w:spacing w:val="0"/>
          <w:w w:val="100"/>
          <w:position w:val="0"/>
        </w:rPr>
        <w:t>个市（县）级经信 主管部门进行通报表扬。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697" w:val="left"/>
        </w:tabs>
        <w:bidi w:val="0"/>
        <w:spacing w:before="0" w:after="0" w:line="502" w:lineRule="exact"/>
        <w:ind w:left="460" w:right="0" w:firstLine="700"/>
        <w:jc w:val="both"/>
      </w:pPr>
      <w:bookmarkStart w:id="7" w:name="bookmark7"/>
      <w:r>
        <w:rPr>
          <w:color w:val="000000"/>
          <w:spacing w:val="0"/>
          <w:w w:val="100"/>
          <w:position w:val="0"/>
        </w:rPr>
        <w:t>二</w:t>
      </w:r>
      <w:bookmarkEnd w:id="7"/>
      <w:r>
        <w:rPr>
          <w:color w:val="000000"/>
          <w:spacing w:val="0"/>
          <w:w w:val="100"/>
          <w:position w:val="0"/>
        </w:rPr>
        <w:t>、</w:t>
        <w:tab/>
        <w:t>对本次评价发现项目现场核查比例未达要求的池州市经 开区经信主管部门进行通报批评。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707" w:val="left"/>
        </w:tabs>
        <w:bidi w:val="0"/>
        <w:spacing w:before="0" w:after="0" w:line="502" w:lineRule="exact"/>
        <w:ind w:left="460" w:right="0" w:firstLine="700"/>
        <w:jc w:val="both"/>
      </w:pPr>
      <w:bookmarkStart w:id="8" w:name="bookmark8"/>
      <w:r>
        <w:rPr>
          <w:color w:val="000000"/>
          <w:spacing w:val="0"/>
          <w:w w:val="100"/>
          <w:position w:val="0"/>
        </w:rPr>
        <w:t>三</w:t>
      </w:r>
      <w:bookmarkEnd w:id="8"/>
      <w:r>
        <w:rPr>
          <w:color w:val="000000"/>
          <w:spacing w:val="0"/>
          <w:w w:val="100"/>
          <w:position w:val="0"/>
        </w:rPr>
        <w:t>、</w:t>
        <w:tab/>
        <w:t>对本次评价发现项目现场核查比例未达要求、不能提供 全部的现场核查记录或现场记录过于简单、记录不完整的池州市 经开区、青阳县、亳州市、利辛县、蒙城县、颍上县、临泉县、 铜陵市、铜官区、淮南市、淮南市经开区、凤台县、寿县等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13</w:t>
      </w:r>
      <w:r>
        <w:rPr>
          <w:color w:val="000000"/>
          <w:spacing w:val="0"/>
          <w:w w:val="100"/>
          <w:position w:val="0"/>
        </w:rPr>
        <w:t>个 市（县），在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2020</w:t>
      </w:r>
      <w:r>
        <w:rPr>
          <w:color w:val="000000"/>
          <w:spacing w:val="0"/>
          <w:w w:val="100"/>
          <w:position w:val="0"/>
        </w:rPr>
        <w:t>年制造强省建设资金省级项目核查中列为重点 核查对象，我厅将对当地经信主管部门项目现场核查工作开展情 况、企业申报项目合规情况等进行重点督导。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697" w:val="left"/>
        </w:tabs>
        <w:bidi w:val="0"/>
        <w:spacing w:before="0" w:after="0" w:line="502" w:lineRule="exact"/>
        <w:ind w:left="460" w:right="0" w:firstLine="700"/>
        <w:jc w:val="both"/>
      </w:pPr>
      <w:bookmarkStart w:id="9" w:name="bookmark9"/>
      <w:r>
        <w:rPr>
          <w:color w:val="000000"/>
          <w:spacing w:val="0"/>
          <w:w w:val="100"/>
          <w:position w:val="0"/>
        </w:rPr>
        <w:t>四</w:t>
      </w:r>
      <w:bookmarkEnd w:id="9"/>
      <w:r>
        <w:rPr>
          <w:color w:val="000000"/>
          <w:spacing w:val="0"/>
          <w:w w:val="100"/>
          <w:position w:val="0"/>
        </w:rPr>
        <w:t>、</w:t>
        <w:tab/>
        <w:t>对评价结果等级为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“差”的</w:t>
      </w:r>
      <w:r>
        <w:rPr>
          <w:color w:val="000000"/>
          <w:spacing w:val="0"/>
          <w:w w:val="100"/>
          <w:position w:val="0"/>
        </w:rPr>
        <w:t>池州市鼎僉软件有限公司进行 通报批评，三年内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29</w:t>
      </w:r>
      <w:r>
        <w:rPr>
          <w:color w:val="000000"/>
          <w:spacing w:val="0"/>
          <w:w w:val="100"/>
          <w:position w:val="0"/>
        </w:rPr>
        <w:t>日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—2023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28</w:t>
      </w:r>
      <w:r>
        <w:rPr>
          <w:color w:val="000000"/>
          <w:spacing w:val="0"/>
          <w:w w:val="100"/>
          <w:position w:val="0"/>
        </w:rPr>
        <w:t>日）禁 止申报我厅的财政资金项目。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502" w:lineRule="exact"/>
        <w:ind w:left="460" w:right="0" w:firstLine="700"/>
        <w:jc w:val="both"/>
      </w:pPr>
      <w:r>
        <w:rPr>
          <w:color w:val="000000"/>
          <w:spacing w:val="0"/>
          <w:w w:val="100"/>
          <w:position w:val="0"/>
        </w:rPr>
        <w:t>各地经信主管部门要以先进单位为榜样，坚持问题导向、目 标导向和结果导向，全面加强制造强省建设资金预算绩效管理， 严格落实制造强省建设资金项目管理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“1+4”</w:t>
      </w:r>
      <w:r>
        <w:rPr>
          <w:color w:val="000000"/>
          <w:spacing w:val="0"/>
          <w:w w:val="100"/>
          <w:position w:val="0"/>
        </w:rPr>
        <w:t>制度，扎实推进项目 建设，切实提高财政资金使用绩效，为推动制造业高质量发展作 出新的更大贡献。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502" w:lineRule="exact"/>
        <w:ind w:left="1120" w:right="0" w:firstLine="0"/>
        <w:jc w:val="both"/>
      </w:pPr>
      <w:r>
        <w:rPr>
          <w:color w:val="000000"/>
          <w:spacing w:val="0"/>
          <w:w w:val="100"/>
          <w:position w:val="0"/>
        </w:rPr>
        <w:t>附件: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2018</w:t>
      </w:r>
      <w:r>
        <w:rPr>
          <w:color w:val="000000"/>
          <w:spacing w:val="0"/>
          <w:w w:val="100"/>
          <w:position w:val="0"/>
        </w:rPr>
        <w:t>年制造强省建设资金绩效评价得分情况表</w:t>
      </w:r>
    </w:p>
    <w:p>
      <w:pPr>
        <w:widowControl w:val="0"/>
        <w:jc w:val="center"/>
        <w:rPr>
          <w:sz w:val="2"/>
          <w:szCs w:val="2"/>
        </w:rPr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793" w:right="1066" w:bottom="1801" w:left="950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drawing>
          <wp:inline>
            <wp:extent cx="2018030" cy="153035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018030" cy="15303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附件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bookmarkStart w:id="12" w:name="bookmark1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2018</w:t>
      </w:r>
      <w:r>
        <w:rPr>
          <w:color w:val="000000"/>
          <w:spacing w:val="0"/>
          <w:w w:val="100"/>
          <w:position w:val="0"/>
        </w:rPr>
        <w:t>年制造强省建设资金绩效评价得分情况表</w:t>
      </w:r>
      <w:bookmarkEnd w:id="10"/>
      <w:bookmarkEnd w:id="11"/>
      <w:bookmarkEnd w:id="12"/>
    </w:p>
    <w:tbl>
      <w:tblPr>
        <w:tblOverlap w:val="never"/>
        <w:jc w:val="center"/>
        <w:tblLayout w:type="fixed"/>
      </w:tblPr>
      <w:tblGrid>
        <w:gridCol w:w="1094"/>
        <w:gridCol w:w="1776"/>
        <w:gridCol w:w="2266"/>
        <w:gridCol w:w="2213"/>
        <w:gridCol w:w="1094"/>
        <w:gridCol w:w="1440"/>
      </w:tblGrid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32"/>
                <w:szCs w:val="32"/>
              </w:rPr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名次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32"/>
                <w:szCs w:val="32"/>
              </w:rPr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地区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主管部门得分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项目单位得分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32"/>
                <w:szCs w:val="32"/>
              </w:rPr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总分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评价等级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—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省经信厅部门评价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杨山县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39.5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55.2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94.7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广德市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37.75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56.03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93.78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贵池区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36.5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56.79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93.29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宿州市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38.5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54.64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93.14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lang w:val="zh-TW" w:eastAsia="zh-TW" w:bidi="zh-TW"/>
              </w:rPr>
              <w:t>埔桥区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38.5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54.5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界首市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38.5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54.07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92.57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9F868E"/>
                <w:spacing w:val="0"/>
                <w:w w:val="100"/>
                <w:position w:val="0"/>
                <w:lang w:val="en-US" w:eastAsia="en-US" w:bidi="en-US"/>
              </w:rPr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泾县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37.5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54.54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92.04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宁国市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东至县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54.98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91.98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泗县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37.5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54.31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91.81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太和县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52.69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91.69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郎溪县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36.5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54.91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91.41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阜南县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53.26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91.26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阜阳市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37.67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53.54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91.21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淮南经开区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利辛县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54.18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91.18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亳州市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36.8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53.95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90.75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根阳县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37.5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53.22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90.72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涡阳县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37.5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53.07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90.57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蒙城县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54.36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90.36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谯城区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54.35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90.35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宣城市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37.4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90.3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池州市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36.6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53.6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90.2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优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青阳县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52.81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89.81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颍上县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35.5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54.29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89.79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临泉县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53.51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89.51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淮南市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36.25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53.04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89.29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寿县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52.69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88.69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凤台县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51.37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88.37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90"/>
        <w:gridCol w:w="1800"/>
        <w:gridCol w:w="2256"/>
        <w:gridCol w:w="2194"/>
        <w:gridCol w:w="1104"/>
        <w:gridCol w:w="1411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32"/>
                <w:szCs w:val="32"/>
              </w:rPr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名次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32"/>
                <w:szCs w:val="32"/>
              </w:rPr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地区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主管部门得分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项目单位得分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总分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评价等级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铜陵市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34.12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53.84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87.96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lang w:val="zh-TW" w:eastAsia="zh-TW" w:bidi="zh-TW"/>
              </w:rPr>
              <w:t>铜官区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34.5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53.23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87.73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宿松县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51.13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87.13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lang w:val="zh-TW" w:eastAsia="zh-TW" w:bidi="zh-TW"/>
              </w:rPr>
              <w:t>宣州区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48.69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85.69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池州经开区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50.45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85.45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铜陵经开区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55.03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84.03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56636B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省财政厅绩效评价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1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芜湖市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87.07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2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滁州市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86.81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黄山市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85.39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马鞍山市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83.56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5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当涂县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83.12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6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合肥市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82.79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7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六安市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82.63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霍山县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82.58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9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661" w:val="left"/>
              </w:tabs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,</w:t>
              <w:tab/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安庆市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82.39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肥西县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82.35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11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全椒县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12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蚌埠市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81.65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zh-TW" w:eastAsia="zh-TW" w:bidi="zh-TW"/>
              </w:rPr>
              <w:t>13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桐城市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81.56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14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滩溪县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56636B"/>
                <w:spacing w:val="0"/>
                <w:w w:val="100"/>
                <w:position w:val="0"/>
                <w:lang w:val="en-US" w:eastAsia="en-US" w:bidi="en-US"/>
              </w:rPr>
              <w:t>81.54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15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淮北市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81.38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16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歙县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17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无为县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80.81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18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固镇县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80.69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良</w:t>
            </w:r>
          </w:p>
        </w:tc>
      </w:tr>
    </w:tbl>
    <w:sectPr>
      <w:footerReference w:type="default" r:id="rId10"/>
      <w:footerReference w:type="even" r:id="rId11"/>
      <w:footnotePr>
        <w:pos w:val="pageBottom"/>
        <w:numFmt w:val="decimal"/>
        <w:numRestart w:val="continuous"/>
      </w:footnotePr>
      <w:pgSz w:w="11900" w:h="16840"/>
      <w:pgMar w:top="793" w:right="1066" w:bottom="1801" w:left="95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9612630</wp:posOffset>
              </wp:positionV>
              <wp:extent cx="445135" cy="121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4513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5pt;margin-top:756.89999999999998pt;width:35.050000000000004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9612630</wp:posOffset>
              </wp:positionV>
              <wp:extent cx="445135" cy="12192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4513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1.5pt;margin-top:756.89999999999998pt;width:35.050000000000004pt;height:9.5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3468370</wp:posOffset>
              </wp:positionH>
              <wp:positionV relativeFrom="page">
                <wp:posOffset>9718040</wp:posOffset>
              </wp:positionV>
              <wp:extent cx="438785" cy="12509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878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73.10000000000002pt;margin-top:765.20000000000005pt;width:34.550000000000004pt;height:9.8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—3 -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3471545</wp:posOffset>
              </wp:positionH>
              <wp:positionV relativeFrom="page">
                <wp:posOffset>9766935</wp:posOffset>
              </wp:positionV>
              <wp:extent cx="441960" cy="12192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4196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-4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273.35000000000002pt;margin-top:769.05000000000007pt;width:34.800000000000004pt;height:9.5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-4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F6494D"/>
      <w:sz w:val="88"/>
      <w:szCs w:val="88"/>
      <w:u w:val="single"/>
      <w:shd w:val="clear" w:color="auto" w:fill="auto"/>
      <w:lang w:val="zh-TW" w:eastAsia="zh-TW" w:bidi="zh-TW"/>
    </w:rPr>
  </w:style>
  <w:style w:type="character" w:customStyle="1" w:styleId="CharStyle5">
    <w:name w:val="Body text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8">
    <w:name w:val="Heading #2|1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CharStyle11">
    <w:name w:val="Header or footer|2_"/>
    <w:basedOn w:val="DefaultParagraphFont"/>
    <w:link w:val="Style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6">
    <w:name w:val="Heading #3|1_"/>
    <w:basedOn w:val="DefaultParagraphFont"/>
    <w:link w:val="Style15"/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CharStyle19">
    <w:name w:val="Other|1_"/>
    <w:basedOn w:val="DefaultParagraphFont"/>
    <w:link w:val="Style18"/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before="660" w:after="280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F6494D"/>
      <w:sz w:val="88"/>
      <w:szCs w:val="88"/>
      <w:u w:val="single"/>
      <w:shd w:val="clear" w:color="auto" w:fill="auto"/>
      <w:lang w:val="zh-TW" w:eastAsia="zh-TW" w:bidi="zh-TW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auto"/>
      <w:spacing w:line="377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7">
    <w:name w:val="Heading #2|1"/>
    <w:basedOn w:val="Normal"/>
    <w:link w:val="CharStyle8"/>
    <w:pPr>
      <w:widowControl w:val="0"/>
      <w:shd w:val="clear" w:color="auto" w:fill="auto"/>
      <w:spacing w:after="440" w:line="518" w:lineRule="exact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Style10">
    <w:name w:val="Header or footer|2"/>
    <w:basedOn w:val="Normal"/>
    <w:link w:val="CharStyle11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5">
    <w:name w:val="Heading #3|1"/>
    <w:basedOn w:val="Normal"/>
    <w:link w:val="CharStyle16"/>
    <w:pPr>
      <w:widowControl w:val="0"/>
      <w:shd w:val="clear" w:color="auto" w:fill="auto"/>
      <w:spacing w:after="240"/>
      <w:jc w:val="center"/>
      <w:outlineLvl w:val="2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Style18">
    <w:name w:val="Other|1"/>
    <w:basedOn w:val="Normal"/>
    <w:link w:val="CharStyle19"/>
    <w:pPr>
      <w:widowControl w:val="0"/>
      <w:shd w:val="clear" w:color="auto" w:fill="auto"/>
      <w:ind w:firstLine="160"/>
    </w:pPr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image" Target="media/image1.jpeg" TargetMode="External"/><Relationship Id="rId10" Type="http://schemas.openxmlformats.org/officeDocument/2006/relationships/footer" Target="footer4.xml"/><Relationship Id="rId11" Type="http://schemas.openxmlformats.org/officeDocument/2006/relationships/footer" Target="footer5.xml"/></Relationships>
</file>